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7338B">
      <w:pPr>
        <w:pStyle w:val="5"/>
        <w:widowControl w:val="0"/>
        <w:spacing w:before="0" w:beforeAutospacing="0" w:after="0" w:afterAutospacing="0" w:line="700" w:lineRule="exact"/>
        <w:ind w:right="74"/>
        <w:rPr>
          <w:rFonts w:ascii="仿宋" w:hAnsi="仿宋" w:eastAsia="仿宋" w:cs="黑体"/>
          <w:color w:val="000000"/>
          <w:kern w:val="2"/>
          <w:sz w:val="32"/>
          <w:szCs w:val="32"/>
        </w:rPr>
      </w:pPr>
      <w:r>
        <w:rPr>
          <w:rFonts w:hint="eastAsia" w:ascii="仿宋" w:hAnsi="仿宋" w:eastAsia="仿宋" w:cs="黑体"/>
          <w:color w:val="000000"/>
          <w:kern w:val="2"/>
          <w:sz w:val="32"/>
          <w:szCs w:val="32"/>
        </w:rPr>
        <w:t>附件</w:t>
      </w:r>
      <w:r>
        <w:rPr>
          <w:rFonts w:ascii="仿宋" w:hAnsi="仿宋" w:eastAsia="仿宋" w:cs="黑体"/>
          <w:color w:val="000000"/>
          <w:kern w:val="2"/>
          <w:sz w:val="32"/>
          <w:szCs w:val="32"/>
        </w:rPr>
        <w:t>2</w:t>
      </w:r>
      <w:r>
        <w:rPr>
          <w:rFonts w:hint="eastAsia" w:ascii="仿宋" w:hAnsi="仿宋" w:eastAsia="仿宋" w:cs="黑体"/>
          <w:color w:val="000000"/>
          <w:kern w:val="2"/>
          <w:sz w:val="32"/>
          <w:szCs w:val="32"/>
        </w:rPr>
        <w:t>：</w:t>
      </w:r>
    </w:p>
    <w:p w14:paraId="35530F1B">
      <w:pPr>
        <w:pStyle w:val="5"/>
        <w:widowControl w:val="0"/>
        <w:spacing w:before="0" w:beforeAutospacing="0" w:after="0" w:afterAutospacing="0" w:line="700" w:lineRule="exact"/>
        <w:ind w:right="74"/>
        <w:jc w:val="center"/>
        <w:rPr>
          <w:rFonts w:hint="eastAsia" w:ascii="方正小标宋简体" w:hAnsi="黑体" w:eastAsia="方正小标宋简体" w:cs="黑体"/>
          <w:color w:val="000000"/>
          <w:kern w:val="2"/>
          <w:sz w:val="42"/>
          <w:szCs w:val="44"/>
          <w:lang w:eastAsia="zh-CN"/>
        </w:rPr>
      </w:pPr>
      <w:r>
        <w:rPr>
          <w:rFonts w:hint="eastAsia" w:ascii="方正小标宋简体" w:hAnsi="黑体" w:eastAsia="方正小标宋简体" w:cs="黑体"/>
          <w:color w:val="000000"/>
          <w:kern w:val="2"/>
          <w:sz w:val="42"/>
          <w:szCs w:val="44"/>
        </w:rPr>
        <w:t>生命科学学院</w:t>
      </w:r>
      <w:r>
        <w:rPr>
          <w:rFonts w:hint="eastAsia" w:ascii="方正小标宋简体" w:hAnsi="黑体" w:eastAsia="方正小标宋简体" w:cs="黑体"/>
          <w:color w:val="000000"/>
          <w:kern w:val="2"/>
          <w:sz w:val="42"/>
          <w:szCs w:val="44"/>
          <w:lang w:eastAsia="zh-CN"/>
        </w:rPr>
        <w:t>2025年</w:t>
      </w:r>
    </w:p>
    <w:p w14:paraId="3B7AA25C">
      <w:pPr>
        <w:spacing w:line="600" w:lineRule="exact"/>
        <w:jc w:val="center"/>
        <w:rPr>
          <w:rFonts w:ascii="方正小标宋简体" w:hAnsi="黑体" w:eastAsia="方正小标宋简体" w:cs="黑体"/>
          <w:color w:val="000000"/>
          <w:sz w:val="42"/>
          <w:szCs w:val="44"/>
        </w:rPr>
      </w:pPr>
      <w:r>
        <w:rPr>
          <w:rFonts w:hint="eastAsia" w:ascii="方正小标宋简体" w:hAnsi="黑体" w:eastAsia="方正小标宋简体" w:cs="黑体"/>
          <w:color w:val="000000"/>
          <w:sz w:val="42"/>
          <w:szCs w:val="44"/>
        </w:rPr>
        <w:t>推荐优秀应届本科毕业生免试攻读</w:t>
      </w:r>
    </w:p>
    <w:p w14:paraId="0C92D603">
      <w:pPr>
        <w:spacing w:line="600" w:lineRule="exact"/>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研究生工作考查评分实施细则</w:t>
      </w:r>
    </w:p>
    <w:p w14:paraId="1E7E199B">
      <w:pPr>
        <w:spacing w:line="600" w:lineRule="exact"/>
        <w:jc w:val="center"/>
        <w:rPr>
          <w:rFonts w:ascii="黑体" w:hAnsi="黑体" w:eastAsia="黑体" w:cs="仿宋_GB2312"/>
          <w:color w:val="000000"/>
          <w:sz w:val="32"/>
          <w:szCs w:val="32"/>
        </w:rPr>
      </w:pPr>
    </w:p>
    <w:p w14:paraId="16E2ABF5">
      <w:pPr>
        <w:pStyle w:val="5"/>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14:paraId="1AB0D508">
      <w:pPr>
        <w:spacing w:line="600" w:lineRule="exact"/>
        <w:ind w:firstLine="627" w:firstLineChars="196"/>
        <w:rPr>
          <w:rFonts w:ascii="黑体" w:hAnsi="黑体" w:eastAsia="黑体" w:cs="黑体"/>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为进一步做好学院推荐优秀应届本科毕业生免试攻读研究生（以下简称“推免生”）考查评分工作，根据《西北农林科技大学推荐优秀应届本科毕业生免试攻读研究生实施办法》(校研发〔2024〕236 号)有关规定，结合《关于做好2025年推荐优秀应届本科毕业生免试攻读研究生工作的通知》内容，本着公平、公正、公开的原则，特制定本细则。</w:t>
      </w:r>
    </w:p>
    <w:p w14:paraId="436725B5">
      <w:pPr>
        <w:spacing w:line="60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14:paraId="02DAC8DD">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第二条  根据相关要求，学院对符合基本条件且申请推荐资格的学生，从思想政治品德、学业成绩、科研潜质三个方面进行综合考核，考核总成绩满分为100 分，其中思想政治品德考核成绩占总成绩的10%、学业成绩占总成绩的40%、科研潜质考核成绩占总成绩的50%。</w:t>
      </w:r>
    </w:p>
    <w:p w14:paraId="061B9519">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14:paraId="2A9CF03D">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Z=0.1A+0.4B+0.5C</w:t>
      </w:r>
    </w:p>
    <w:p w14:paraId="7BFD12C0">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公式中：</w:t>
      </w:r>
    </w:p>
    <w:p w14:paraId="7D5D64A9">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Z:总成绩。</w:t>
      </w:r>
    </w:p>
    <w:p w14:paraId="42E3543E">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A：思想政治品德考核成绩，满分为100 分，</w:t>
      </w:r>
      <w:r>
        <w:rPr>
          <w:rFonts w:hint="eastAsia" w:ascii="仿宋_GB2312" w:eastAsia="仿宋_GB2312" w:cs="仿宋_GB2312" w:hAnsiTheme="minorEastAsia"/>
          <w:sz w:val="32"/>
          <w:szCs w:val="32"/>
          <w:lang w:val="en-US" w:eastAsia="zh-CN"/>
        </w:rPr>
        <w:t>按照</w:t>
      </w:r>
      <w:r>
        <w:rPr>
          <w:rFonts w:hint="eastAsia" w:ascii="仿宋_GB2312" w:eastAsia="仿宋_GB2312" w:cs="仿宋_GB2312" w:hAnsiTheme="minorEastAsia"/>
          <w:sz w:val="32"/>
          <w:szCs w:val="32"/>
        </w:rPr>
        <w:t>党委学生工作部制定</w:t>
      </w:r>
      <w:r>
        <w:rPr>
          <w:rFonts w:hint="eastAsia" w:ascii="仿宋_GB2312" w:eastAsia="仿宋_GB2312" w:cs="仿宋_GB2312" w:hAnsiTheme="minorEastAsia"/>
          <w:sz w:val="32"/>
          <w:szCs w:val="32"/>
          <w:lang w:eastAsia="zh-CN"/>
        </w:rPr>
        <w:t>的</w:t>
      </w:r>
      <w:r>
        <w:rPr>
          <w:rFonts w:hint="eastAsia" w:ascii="仿宋_GB2312" w:eastAsia="仿宋_GB2312" w:cs="仿宋_GB2312" w:hAnsiTheme="minorEastAsia"/>
          <w:sz w:val="32"/>
          <w:szCs w:val="32"/>
        </w:rPr>
        <w:t>评分实施细则</w:t>
      </w:r>
      <w:r>
        <w:rPr>
          <w:rFonts w:hint="eastAsia" w:ascii="仿宋_GB2312" w:eastAsia="仿宋_GB2312" w:cs="仿宋_GB2312" w:hAnsiTheme="minorEastAsia"/>
          <w:sz w:val="32"/>
          <w:szCs w:val="32"/>
          <w:lang w:val="en-US" w:eastAsia="zh-CN"/>
        </w:rPr>
        <w:t>执行</w:t>
      </w:r>
      <w:r>
        <w:rPr>
          <w:rFonts w:hint="eastAsia" w:ascii="仿宋_GB2312" w:eastAsia="仿宋_GB2312" w:cs="仿宋_GB2312" w:hAnsiTheme="minorEastAsia"/>
          <w:sz w:val="32"/>
          <w:szCs w:val="32"/>
        </w:rPr>
        <w:t>。</w:t>
      </w:r>
    </w:p>
    <w:p w14:paraId="1DFA08B3">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B:学业成绩</w:t>
      </w:r>
      <w:r>
        <w:rPr>
          <w:rFonts w:hint="eastAsia" w:ascii="仿宋_GB2312" w:eastAsia="仿宋_GB2312" w:cs="仿宋_GB2312" w:hAnsiTheme="minorEastAsia"/>
          <w:sz w:val="32"/>
          <w:szCs w:val="32"/>
          <w:lang w:eastAsia="zh-CN"/>
        </w:rPr>
        <w:t>，</w:t>
      </w:r>
      <w:r>
        <w:rPr>
          <w:rFonts w:hint="eastAsia" w:ascii="仿宋_GB2312" w:eastAsia="仿宋_GB2312" w:cs="仿宋_GB2312" w:hAnsiTheme="minorEastAsia"/>
          <w:sz w:val="32"/>
          <w:szCs w:val="32"/>
        </w:rPr>
        <w:t>满分为100 分</w:t>
      </w:r>
      <w:r>
        <w:rPr>
          <w:rFonts w:hint="eastAsia" w:ascii="仿宋_GB2312" w:eastAsia="仿宋_GB2312" w:cs="仿宋_GB2312" w:hAnsiTheme="minorEastAsia"/>
          <w:sz w:val="32"/>
          <w:szCs w:val="32"/>
          <w:lang w:eastAsia="zh-CN"/>
        </w:rPr>
        <w:t>，</w:t>
      </w:r>
      <w:r>
        <w:rPr>
          <w:rFonts w:hint="eastAsia" w:ascii="仿宋_GB2312" w:eastAsia="仿宋_GB2312" w:cs="仿宋_GB2312" w:hAnsiTheme="minorEastAsia"/>
          <w:sz w:val="32"/>
          <w:szCs w:val="32"/>
          <w:lang w:val="en-US" w:eastAsia="zh-CN"/>
        </w:rPr>
        <w:t>按照</w:t>
      </w:r>
      <w:r>
        <w:rPr>
          <w:rFonts w:hint="eastAsia" w:ascii="仿宋_GB2312" w:eastAsia="仿宋_GB2312" w:cs="仿宋_GB2312" w:hAnsiTheme="minorEastAsia"/>
          <w:sz w:val="32"/>
          <w:szCs w:val="32"/>
        </w:rPr>
        <w:t>教务处制定</w:t>
      </w:r>
      <w:r>
        <w:rPr>
          <w:rFonts w:hint="eastAsia" w:ascii="仿宋_GB2312" w:eastAsia="仿宋_GB2312" w:cs="仿宋_GB2312" w:hAnsiTheme="minorEastAsia"/>
          <w:sz w:val="32"/>
          <w:szCs w:val="32"/>
          <w:lang w:eastAsia="zh-CN"/>
        </w:rPr>
        <w:t>的</w:t>
      </w:r>
      <w:r>
        <w:rPr>
          <w:rFonts w:hint="eastAsia" w:ascii="仿宋_GB2312" w:eastAsia="仿宋_GB2312" w:cs="仿宋_GB2312" w:hAnsiTheme="minorEastAsia"/>
          <w:sz w:val="32"/>
          <w:szCs w:val="32"/>
        </w:rPr>
        <w:t>评分实施细则</w:t>
      </w:r>
      <w:r>
        <w:rPr>
          <w:rFonts w:hint="eastAsia" w:ascii="仿宋_GB2312" w:eastAsia="仿宋_GB2312" w:cs="仿宋_GB2312" w:hAnsiTheme="minorEastAsia"/>
          <w:sz w:val="32"/>
          <w:szCs w:val="32"/>
          <w:lang w:val="en-US" w:eastAsia="zh-CN"/>
        </w:rPr>
        <w:t>执行</w:t>
      </w:r>
      <w:r>
        <w:rPr>
          <w:rFonts w:hint="eastAsia" w:ascii="仿宋_GB2312" w:eastAsia="仿宋_GB2312" w:cs="仿宋_GB2312" w:hAnsiTheme="minorEastAsia"/>
          <w:sz w:val="32"/>
          <w:szCs w:val="32"/>
        </w:rPr>
        <w:t xml:space="preserve">。 </w:t>
      </w:r>
    </w:p>
    <w:p w14:paraId="2BC2D1ED">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C：科研潜质考核成绩，满分为100 分</w:t>
      </w:r>
      <w:r>
        <w:rPr>
          <w:rFonts w:hint="eastAsia" w:ascii="仿宋_GB2312" w:eastAsia="仿宋_GB2312" w:cs="仿宋_GB2312" w:hAnsiTheme="minorEastAsia"/>
          <w:sz w:val="32"/>
          <w:szCs w:val="32"/>
          <w:lang w:eastAsia="zh-CN"/>
        </w:rPr>
        <w:t>。</w:t>
      </w: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w:t>
      </w:r>
      <w:r>
        <w:rPr>
          <w:rFonts w:hint="eastAsia" w:ascii="仿宋_GB2312" w:eastAsia="仿宋_GB2312" w:cs="仿宋_GB2312" w:hAnsiTheme="minorEastAsia"/>
          <w:sz w:val="32"/>
          <w:szCs w:val="32"/>
        </w:rPr>
        <w:t>包括科研能力评价和科研潜质加分两部分。具体考核办法如下：</w:t>
      </w:r>
    </w:p>
    <w:p w14:paraId="5BD3F9E2">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1.科研能力评价（50分）</w:t>
      </w:r>
    </w:p>
    <w:p w14:paraId="2053E452">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由推免生科研能力评价小组进行评价，主要考核外语表达能力、文献阅读能力、专业知识、创新能力、科研水平等方面；</w:t>
      </w:r>
    </w:p>
    <w:p w14:paraId="1783BE0A">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2.</w:t>
      </w:r>
      <w:r>
        <w:rPr>
          <w:rFonts w:hint="eastAsia" w:ascii="仿宋_GB2312" w:eastAsia="仿宋_GB2312" w:cs="仿宋_GB2312" w:hAnsiTheme="minorEastAsia"/>
          <w:sz w:val="32"/>
          <w:szCs w:val="32"/>
        </w:rPr>
        <w:t>科研潜质加分（50分）</w:t>
      </w:r>
    </w:p>
    <w:p w14:paraId="1A3CA66C">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w:t>
      </w:r>
      <w:r>
        <w:rPr>
          <w:rFonts w:hint="eastAsia" w:ascii="仿宋_GB2312" w:eastAsia="仿宋_GB2312" w:cs="仿宋_GB2312" w:hAnsiTheme="minorEastAsia"/>
          <w:sz w:val="32"/>
          <w:szCs w:val="32"/>
        </w:rPr>
        <w:t>国际组织实习、志愿服务、应征入伍、</w:t>
      </w:r>
      <w:r>
        <w:rPr>
          <w:rFonts w:ascii="仿宋_GB2312" w:eastAsia="仿宋_GB2312" w:cs="仿宋_GB2312" w:hAnsiTheme="minorEastAsia"/>
          <w:sz w:val="32"/>
          <w:szCs w:val="32"/>
        </w:rPr>
        <w:t>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p>
    <w:p w14:paraId="44688011">
      <w:pPr>
        <w:spacing w:line="600" w:lineRule="exact"/>
        <w:ind w:firstLine="640" w:firstLineChars="200"/>
        <w:rPr>
          <w:rFonts w:ascii="仿宋" w:hAnsi="仿宋" w:eastAsia="仿宋" w:cs="仿宋"/>
          <w:color w:val="000000"/>
          <w:sz w:val="32"/>
          <w:szCs w:val="32"/>
        </w:rPr>
      </w:pPr>
      <w:r>
        <w:rPr>
          <w:rFonts w:hint="eastAsia" w:ascii="仿宋_GB2312" w:eastAsia="仿宋_GB2312" w:cs="仿宋_GB2312" w:hAnsiTheme="minorEastAsia"/>
          <w:sz w:val="32"/>
          <w:szCs w:val="32"/>
        </w:rPr>
        <w:t>第</w:t>
      </w:r>
      <w:r>
        <w:rPr>
          <w:rFonts w:hint="eastAsia" w:ascii="仿宋_GB2312" w:eastAsia="仿宋_GB2312" w:cs="仿宋_GB2312" w:hAnsiTheme="minorEastAsia"/>
          <w:sz w:val="32"/>
          <w:szCs w:val="32"/>
          <w:lang w:val="en-US" w:eastAsia="zh-CN"/>
        </w:rPr>
        <w:t>三</w:t>
      </w:r>
      <w:r>
        <w:rPr>
          <w:rFonts w:hint="eastAsia" w:ascii="仿宋_GB2312" w:eastAsia="仿宋_GB2312" w:cs="仿宋_GB2312" w:hAnsiTheme="minorEastAsia"/>
          <w:sz w:val="32"/>
          <w:szCs w:val="32"/>
        </w:rPr>
        <w:t>条  推免生遴选工作小组按照总成绩由高到低排名，并依据推荐指标数</w:t>
      </w:r>
      <w:r>
        <w:rPr>
          <w:rFonts w:hint="eastAsia" w:ascii="仿宋" w:hAnsi="仿宋" w:eastAsia="仿宋" w:cs="仿宋"/>
          <w:color w:val="000000"/>
          <w:sz w:val="32"/>
          <w:szCs w:val="32"/>
        </w:rPr>
        <w:t>确定推免生初选名单。初选名单需在本学院官方网站上公示不少于3个工作日。公示无异议后，将初选名单连同有关材料报送研究生院。</w:t>
      </w:r>
    </w:p>
    <w:p w14:paraId="650465A7">
      <w:pPr>
        <w:spacing w:line="600" w:lineRule="exact"/>
        <w:jc w:val="center"/>
        <w:rPr>
          <w:rFonts w:ascii="黑体" w:hAnsi="黑体" w:eastAsia="黑体" w:cs="仿宋_GB2312"/>
          <w:sz w:val="32"/>
          <w:szCs w:val="32"/>
        </w:rPr>
      </w:pPr>
    </w:p>
    <w:p w14:paraId="50F26AA5">
      <w:pPr>
        <w:spacing w:line="60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其他</w:t>
      </w:r>
    </w:p>
    <w:p w14:paraId="09BF5C62">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w:t>
      </w:r>
      <w:r>
        <w:rPr>
          <w:rFonts w:hint="eastAsia" w:ascii="仿宋_GB2312" w:eastAsia="仿宋_GB2312" w:cs="仿宋_GB2312" w:hAnsiTheme="minorEastAsia"/>
          <w:sz w:val="32"/>
          <w:szCs w:val="32"/>
          <w:lang w:val="en-US" w:eastAsia="zh-CN"/>
        </w:rPr>
        <w:t>四</w:t>
      </w:r>
      <w:r>
        <w:rPr>
          <w:rFonts w:hint="eastAsia" w:ascii="仿宋_GB2312" w:eastAsia="仿宋_GB2312" w:cs="仿宋_GB2312" w:hAnsiTheme="minorEastAsia"/>
          <w:sz w:val="32"/>
          <w:szCs w:val="32"/>
        </w:rPr>
        <w:t>条  本细则未列事宜，由学院推免生遴选工作小组予以认定和解释。</w:t>
      </w:r>
    </w:p>
    <w:p w14:paraId="37543A69">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w:t>
      </w:r>
      <w:r>
        <w:rPr>
          <w:rFonts w:hint="eastAsia" w:ascii="仿宋_GB2312" w:eastAsia="仿宋_GB2312" w:cs="仿宋_GB2312" w:hAnsiTheme="minorEastAsia"/>
          <w:sz w:val="32"/>
          <w:szCs w:val="32"/>
          <w:lang w:val="en-US" w:eastAsia="zh-CN"/>
        </w:rPr>
        <w:t>五</w:t>
      </w:r>
      <w:r>
        <w:rPr>
          <w:rFonts w:hint="eastAsia" w:ascii="仿宋_GB2312" w:eastAsia="仿宋_GB2312" w:cs="仿宋_GB2312" w:hAnsiTheme="minorEastAsia"/>
          <w:sz w:val="32"/>
          <w:szCs w:val="32"/>
        </w:rPr>
        <w:t>条  本细则自20</w:t>
      </w:r>
      <w:r>
        <w:rPr>
          <w:rFonts w:hint="eastAsia" w:ascii="仿宋_GB2312" w:eastAsia="仿宋_GB2312" w:cs="仿宋_GB2312" w:hAnsiTheme="minorEastAsia"/>
          <w:sz w:val="32"/>
          <w:szCs w:val="32"/>
          <w:lang w:val="en-US" w:eastAsia="zh-CN"/>
        </w:rPr>
        <w:t>21</w:t>
      </w:r>
      <w:r>
        <w:rPr>
          <w:rFonts w:hint="eastAsia" w:ascii="仿宋_GB2312" w:eastAsia="仿宋_GB2312" w:cs="仿宋_GB2312" w:hAnsiTheme="minorEastAsia"/>
          <w:sz w:val="32"/>
          <w:szCs w:val="32"/>
        </w:rPr>
        <w:t>级本科生起实施。</w:t>
      </w:r>
    </w:p>
    <w:p w14:paraId="4DE33361">
      <w:pPr>
        <w:spacing w:line="600" w:lineRule="exact"/>
        <w:ind w:firstLine="640" w:firstLineChars="200"/>
        <w:rPr>
          <w:rFonts w:ascii="仿宋_GB2312" w:eastAsia="仿宋_GB2312" w:cs="仿宋_GB2312" w:hAnsiTheme="minorEastAsia"/>
          <w:sz w:val="32"/>
          <w:szCs w:val="32"/>
        </w:rPr>
      </w:pPr>
    </w:p>
    <w:p w14:paraId="4C02425C">
      <w:pPr>
        <w:spacing w:line="600" w:lineRule="exact"/>
        <w:ind w:firstLine="640" w:firstLineChars="200"/>
        <w:rPr>
          <w:rFonts w:ascii="仿宋_GB2312" w:eastAsia="仿宋_GB2312" w:cs="仿宋_GB2312" w:hAnsiTheme="minorEastAsia"/>
          <w:sz w:val="32"/>
          <w:szCs w:val="32"/>
        </w:rPr>
      </w:pPr>
    </w:p>
    <w:p w14:paraId="76FAC3A5">
      <w:pPr>
        <w:spacing w:line="600" w:lineRule="exact"/>
        <w:ind w:firstLine="5120" w:firstLineChars="16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生命科学学院</w:t>
      </w:r>
    </w:p>
    <w:p w14:paraId="585825C5">
      <w:pPr>
        <w:spacing w:line="600" w:lineRule="exact"/>
        <w:ind w:firstLine="4800" w:firstLineChars="1500"/>
        <w:rPr>
          <w:rFonts w:ascii="仿宋_GB2312" w:eastAsia="仿宋_GB2312" w:cs="仿宋_GB2312" w:hAnsiTheme="minorEastAsia"/>
          <w:sz w:val="32"/>
          <w:szCs w:val="32"/>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lang w:val="en-US" w:eastAsia="zh-CN"/>
        </w:rPr>
        <w:t>24</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lang w:val="en-US" w:eastAsia="zh-CN"/>
        </w:rPr>
        <w:t>9</w:t>
      </w:r>
      <w:r>
        <w:rPr>
          <w:rFonts w:ascii="仿宋_GB2312" w:eastAsia="仿宋_GB2312" w:cs="仿宋_GB2312" w:hAnsiTheme="minorEastAsia"/>
          <w:sz w:val="32"/>
          <w:szCs w:val="32"/>
        </w:rPr>
        <w:t>日</w:t>
      </w:r>
    </w:p>
    <w:p w14:paraId="712AB065">
      <w:pPr>
        <w:pageBreakBefore/>
        <w:widowControl/>
        <w:snapToGrid w:val="0"/>
        <w:spacing w:before="156" w:beforeLines="50" w:after="156" w:afterLines="50" w:line="300" w:lineRule="auto"/>
        <w:jc w:val="left"/>
        <w:rPr>
          <w:rFonts w:ascii="黑体" w:hAnsi="黑体" w:eastAsia="黑体" w:cs="黑体"/>
          <w:sz w:val="32"/>
          <w:szCs w:val="32"/>
        </w:rPr>
      </w:pPr>
      <w:r>
        <w:rPr>
          <w:rFonts w:hint="eastAsia" w:ascii="黑体" w:hAnsi="黑体" w:eastAsia="黑体" w:cs="黑体"/>
          <w:sz w:val="32"/>
          <w:szCs w:val="32"/>
        </w:rPr>
        <w:t>附件：</w:t>
      </w:r>
    </w:p>
    <w:p w14:paraId="0D4F0924">
      <w:pPr>
        <w:widowControl/>
        <w:snapToGrid w:val="0"/>
        <w:spacing w:before="156" w:beforeLines="50" w:after="156" w:afterLines="50" w:line="30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科研潜质加分细则</w:t>
      </w:r>
    </w:p>
    <w:tbl>
      <w:tblPr>
        <w:tblStyle w:val="6"/>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921"/>
        <w:gridCol w:w="4103"/>
      </w:tblGrid>
      <w:tr w14:paraId="5495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14:paraId="286896E4">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gridSpan w:val="2"/>
            <w:vAlign w:val="center"/>
          </w:tcPr>
          <w:p w14:paraId="3E8B7101">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14:paraId="2D31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14:paraId="15E5BD1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14:paraId="234A34D9">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3395C3D9">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在校期间申请到国际组织实习（含连续三个月以上访学），每次加1分，累计加分不超过5分。</w:t>
            </w:r>
          </w:p>
        </w:tc>
      </w:tr>
      <w:tr w14:paraId="64E6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460355CD">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志愿服务</w:t>
            </w:r>
          </w:p>
          <w:p w14:paraId="2D8F6728">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14:paraId="53688E67">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在校期间积极参与志愿者服务，每项加1分，同一类型项目不重复加分，累计加分不超过3分。</w:t>
            </w:r>
          </w:p>
        </w:tc>
      </w:tr>
      <w:tr w14:paraId="244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19417619">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14:paraId="24755C00">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6A9DCD04">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r>
      <w:tr w14:paraId="162B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271" w:type="dxa"/>
            <w:vAlign w:val="center"/>
          </w:tcPr>
          <w:p w14:paraId="337443C0">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综合发展</w:t>
            </w:r>
          </w:p>
          <w:p w14:paraId="5EA3F2EE">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40618F44">
            <w:pPr>
              <w:widowControl/>
              <w:numPr>
                <w:ilvl w:val="0"/>
                <w:numId w:val="1"/>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获得校级及以上党政部门颁发的优秀共产党员称号，按照国家级3分、省级2分、校级1分依次加分；</w:t>
            </w:r>
          </w:p>
          <w:p w14:paraId="1DFF9AB6">
            <w:pPr>
              <w:widowControl/>
              <w:numPr>
                <w:ilvl w:val="0"/>
                <w:numId w:val="1"/>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获得校级及以上党政部门颁发的优秀团员或者优秀学生（团）干部，按照国家级3分、省级2分、校级1分依次加分；</w:t>
            </w:r>
          </w:p>
          <w:p w14:paraId="600E95E5">
            <w:pPr>
              <w:widowControl/>
              <w:numPr>
                <w:ilvl w:val="0"/>
                <w:numId w:val="1"/>
              </w:numPr>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获得校级及以上社会实践先进个人（标兵）、优秀志愿者荣誉称号，按照国家级3分、省级2分、校级1分依次加分。</w:t>
            </w:r>
          </w:p>
          <w:p w14:paraId="0EEB981E">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所获荣誉经学院推免生遴选工作小组认定，即可加分。以上荣誉同一类型不重复加分，按最高成绩计算。累计加分不超过5分。</w:t>
            </w:r>
          </w:p>
        </w:tc>
      </w:tr>
      <w:tr w14:paraId="6923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271" w:type="dxa"/>
            <w:vAlign w:val="center"/>
          </w:tcPr>
          <w:p w14:paraId="66455658">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科研训练</w:t>
            </w:r>
          </w:p>
          <w:p w14:paraId="3B3D9A6D">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（2分）</w:t>
            </w:r>
          </w:p>
        </w:tc>
        <w:tc>
          <w:tcPr>
            <w:tcW w:w="8024" w:type="dxa"/>
            <w:gridSpan w:val="2"/>
            <w:vAlign w:val="center"/>
          </w:tcPr>
          <w:p w14:paraId="33208A75">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参加过学院“启航计划”科研训练者加1分；参与创新创业项目，每人加1分。各类项目均不重复计分。</w:t>
            </w:r>
          </w:p>
        </w:tc>
      </w:tr>
      <w:tr w14:paraId="6834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14:paraId="06EB6D75">
            <w:pPr>
              <w:widowControl/>
              <w:snapToGrid w:val="0"/>
              <w:jc w:val="center"/>
              <w:rPr>
                <w:rFonts w:asciiTheme="minorEastAsia" w:hAnsiTheme="minorEastAsia" w:eastAsiaTheme="minorEastAsia" w:cstheme="minorEastAsia"/>
                <w:sz w:val="24"/>
              </w:rPr>
            </w:pPr>
          </w:p>
          <w:p w14:paraId="4386E211">
            <w:pPr>
              <w:widowControl/>
              <w:snapToGrid w:val="0"/>
              <w:jc w:val="center"/>
              <w:rPr>
                <w:rFonts w:asciiTheme="minorEastAsia" w:hAnsiTheme="minorEastAsia" w:eastAsiaTheme="minorEastAsia" w:cstheme="minorEastAsia"/>
                <w:sz w:val="24"/>
              </w:rPr>
            </w:pPr>
          </w:p>
          <w:p w14:paraId="7DA8C89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14:paraId="0713DE30">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14:paraId="12E141EC">
            <w:pPr>
              <w:widowControl/>
              <w:snapToGrid w:val="0"/>
              <w:rPr>
                <w:rFonts w:asciiTheme="minorEastAsia" w:hAnsiTheme="minorEastAsia" w:eastAsiaTheme="minorEastAsia" w:cstheme="minorEastAsia"/>
                <w:sz w:val="24"/>
              </w:rPr>
            </w:pPr>
          </w:p>
        </w:tc>
        <w:tc>
          <w:tcPr>
            <w:tcW w:w="3921" w:type="dxa"/>
            <w:vMerge w:val="restart"/>
            <w:vAlign w:val="center"/>
          </w:tcPr>
          <w:p w14:paraId="01F3198C">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外语水平认定经学院推免生遴选工作小组认定，即可加分。三种类型不累计加分，按分数最高一类计算。</w:t>
            </w:r>
          </w:p>
        </w:tc>
        <w:tc>
          <w:tcPr>
            <w:tcW w:w="4103" w:type="dxa"/>
            <w:vAlign w:val="center"/>
          </w:tcPr>
          <w:p w14:paraId="74128878">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r>
      <w:tr w14:paraId="4DBC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14:paraId="3C078325">
            <w:pPr>
              <w:widowControl/>
              <w:snapToGrid w:val="0"/>
              <w:jc w:val="center"/>
              <w:rPr>
                <w:rFonts w:asciiTheme="minorEastAsia" w:hAnsiTheme="minorEastAsia" w:eastAsiaTheme="minorEastAsia" w:cstheme="minorEastAsia"/>
                <w:sz w:val="24"/>
              </w:rPr>
            </w:pPr>
          </w:p>
        </w:tc>
        <w:tc>
          <w:tcPr>
            <w:tcW w:w="3921" w:type="dxa"/>
            <w:vMerge w:val="continue"/>
            <w:vAlign w:val="center"/>
          </w:tcPr>
          <w:p w14:paraId="1F6C6719">
            <w:pPr>
              <w:widowControl/>
              <w:snapToGrid w:val="0"/>
              <w:ind w:firstLine="480" w:firstLineChars="200"/>
              <w:rPr>
                <w:rFonts w:asciiTheme="minorEastAsia" w:hAnsiTheme="minorEastAsia" w:eastAsiaTheme="minorEastAsia" w:cstheme="minorEastAsia"/>
                <w:sz w:val="24"/>
              </w:rPr>
            </w:pPr>
          </w:p>
        </w:tc>
        <w:tc>
          <w:tcPr>
            <w:tcW w:w="4103" w:type="dxa"/>
            <w:vAlign w:val="center"/>
          </w:tcPr>
          <w:p w14:paraId="69079C7B">
            <w:pPr>
              <w:widowControl/>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加2分，7.0及以上者加3分；托福成绩（有效期两年内）90分及以上100分以下加2分，100分及以上加3分；GRE（有效期两年内）310分及以上加2分，320分及以上加3分。二者不重复加分，按最高成绩计算。</w:t>
            </w:r>
          </w:p>
        </w:tc>
      </w:tr>
      <w:tr w14:paraId="5EE7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14:paraId="38223C37">
            <w:pPr>
              <w:widowControl/>
              <w:snapToGrid w:val="0"/>
              <w:jc w:val="center"/>
              <w:rPr>
                <w:rFonts w:asciiTheme="minorEastAsia" w:hAnsiTheme="minorEastAsia" w:eastAsiaTheme="minorEastAsia" w:cstheme="minorEastAsia"/>
                <w:sz w:val="24"/>
              </w:rPr>
            </w:pPr>
          </w:p>
        </w:tc>
        <w:tc>
          <w:tcPr>
            <w:tcW w:w="3921" w:type="dxa"/>
            <w:vMerge w:val="continue"/>
            <w:vAlign w:val="center"/>
          </w:tcPr>
          <w:p w14:paraId="6078F882">
            <w:pPr>
              <w:widowControl/>
              <w:snapToGrid w:val="0"/>
              <w:ind w:firstLine="480" w:firstLineChars="200"/>
              <w:jc w:val="left"/>
              <w:rPr>
                <w:rFonts w:asciiTheme="minorEastAsia" w:hAnsiTheme="minorEastAsia" w:eastAsiaTheme="minorEastAsia" w:cstheme="minorEastAsia"/>
                <w:sz w:val="24"/>
              </w:rPr>
            </w:pPr>
          </w:p>
        </w:tc>
        <w:tc>
          <w:tcPr>
            <w:tcW w:w="4103" w:type="dxa"/>
            <w:vAlign w:val="center"/>
          </w:tcPr>
          <w:p w14:paraId="2DD31D54">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选修全英文课程且无挂科，每门加0.5分；获得90分及以上每门再加1分，获得80-89分每门再加0.5分。选修暑期全英文课程并获得学分，每门加0.5分。累计加分不超过5分。</w:t>
            </w:r>
          </w:p>
        </w:tc>
      </w:tr>
      <w:tr w14:paraId="6E2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271" w:type="dxa"/>
            <w:vAlign w:val="center"/>
          </w:tcPr>
          <w:p w14:paraId="53A040A7">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14:paraId="1259BBE5">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14:paraId="0B4BCEDC">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获得国家级学术科技竞赛（具体项目见《</w:t>
            </w:r>
            <w:bookmarkStart w:id="0" w:name="_GoBack"/>
            <w:bookmarkEnd w:id="0"/>
            <w:r>
              <w:rPr>
                <w:rFonts w:hint="eastAsia" w:asciiTheme="minorEastAsia" w:hAnsiTheme="minorEastAsia" w:eastAsiaTheme="minorEastAsia" w:cstheme="minorEastAsia"/>
                <w:sz w:val="24"/>
              </w:rPr>
              <w:t>西北农林科技大学特长生免试攻读研究生推荐办法》中附件：ABC类学科竞赛目录）特等、一等（金奖）、二等奖（银奖）和三等奖（铜奖），分别加5分、4分、3分和2分，团体项目得分均分给前五名参与者（A类学科竞赛）或前三名参与者（B、C类学科竞赛）。同一类型不重复加分，累计加分不超过10分。</w:t>
            </w:r>
          </w:p>
        </w:tc>
      </w:tr>
      <w:tr w14:paraId="0001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14:paraId="26C5CF61">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14:paraId="30A49F13">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112A353B">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以主持人（队长）身份申请</w:t>
            </w:r>
            <w:r>
              <w:rPr>
                <w:rFonts w:hint="eastAsia" w:asciiTheme="minorEastAsia" w:hAnsiTheme="minorEastAsia" w:eastAsiaTheme="minorEastAsia" w:cstheme="minorEastAsia"/>
                <w:sz w:val="24"/>
                <w:lang w:val="en-US" w:eastAsia="zh-CN"/>
              </w:rPr>
              <w:t>获批</w:t>
            </w:r>
            <w:r>
              <w:rPr>
                <w:rFonts w:hint="eastAsia" w:asciiTheme="minorEastAsia" w:hAnsiTheme="minorEastAsia" w:eastAsiaTheme="minorEastAsia" w:cstheme="minorEastAsia"/>
                <w:sz w:val="24"/>
              </w:rPr>
              <w:t>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在SCI上发表学术论文每篇加3分，文章必须见刊或在线发表。累计加分不超过5分。</w:t>
            </w:r>
          </w:p>
        </w:tc>
      </w:tr>
      <w:tr w14:paraId="69D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14:paraId="756563EC">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14:paraId="696794E5">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14:paraId="6B1E30DC">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以第一完成人申请并获国家授权发明专利，正式获批科技发明专利每项加1分。累计加分不超过5分。</w:t>
            </w:r>
          </w:p>
        </w:tc>
      </w:tr>
    </w:tbl>
    <w:p w14:paraId="3184DF07">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14:paraId="34E30E32">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1.科研潜质考核加分项按表格内容加分计算，同一项目加分就高不就低，不重复加分。</w:t>
      </w:r>
    </w:p>
    <w:p w14:paraId="7C185F3E">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14:paraId="2CE161AB">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14:paraId="7462B06D">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4.所有加分项目以学生提供的证书、论文首页、论文接收函等原件为依据，照片、扫描件、传真件不作为加分依据，报名截止后，若审查发现支撑材料缺失，视为主动放弃推免资格。</w:t>
      </w:r>
    </w:p>
    <w:p w14:paraId="1644ABC1">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sectPr>
      <w:headerReference r:id="rId3" w:type="default"/>
      <w:pgSz w:w="11906" w:h="16838"/>
      <w:pgMar w:top="720" w:right="1134"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904D">
    <w:pPr>
      <w:pStyle w:val="4"/>
      <w:pBdr>
        <w:bottom w:val="none" w:color="auto" w:sz="0" w:space="0"/>
      </w:pBdr>
      <w:jc w:val="left"/>
      <w:rPr>
        <w:rFonts w:ascii="仿宋" w:hAnsi="仿宋" w:eastAsia="仿宋"/>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1EAD6"/>
    <w:multiLevelType w:val="singleLevel"/>
    <w:tmpl w:val="4E21EAD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NDlkN2QyZGU0YTY4Mzc4NmU0ZjZhMDYzN2ZjMDMifQ=="/>
  </w:docVars>
  <w:rsids>
    <w:rsidRoot w:val="37913034"/>
    <w:rsid w:val="001A186B"/>
    <w:rsid w:val="001F1456"/>
    <w:rsid w:val="002319F8"/>
    <w:rsid w:val="00260371"/>
    <w:rsid w:val="00325051"/>
    <w:rsid w:val="00505D90"/>
    <w:rsid w:val="00565FDF"/>
    <w:rsid w:val="006255E0"/>
    <w:rsid w:val="0091126A"/>
    <w:rsid w:val="009F5208"/>
    <w:rsid w:val="00A76D02"/>
    <w:rsid w:val="00B33B7B"/>
    <w:rsid w:val="00BB2961"/>
    <w:rsid w:val="00CF2260"/>
    <w:rsid w:val="00D23B4B"/>
    <w:rsid w:val="00DC4D13"/>
    <w:rsid w:val="00F442E1"/>
    <w:rsid w:val="00F508E5"/>
    <w:rsid w:val="01A330C0"/>
    <w:rsid w:val="06791048"/>
    <w:rsid w:val="07660B6A"/>
    <w:rsid w:val="136B5974"/>
    <w:rsid w:val="14B107CA"/>
    <w:rsid w:val="174834F8"/>
    <w:rsid w:val="19787C6E"/>
    <w:rsid w:val="1A1F4931"/>
    <w:rsid w:val="1BAD6604"/>
    <w:rsid w:val="1CCE0EE4"/>
    <w:rsid w:val="1D8A155C"/>
    <w:rsid w:val="1FF61321"/>
    <w:rsid w:val="22117DF3"/>
    <w:rsid w:val="265A102C"/>
    <w:rsid w:val="292A547C"/>
    <w:rsid w:val="2CCA7ABD"/>
    <w:rsid w:val="37913034"/>
    <w:rsid w:val="39951809"/>
    <w:rsid w:val="46C80455"/>
    <w:rsid w:val="488D470C"/>
    <w:rsid w:val="4926189D"/>
    <w:rsid w:val="4E081935"/>
    <w:rsid w:val="4FEF420F"/>
    <w:rsid w:val="53B47EDC"/>
    <w:rsid w:val="594A3516"/>
    <w:rsid w:val="59783D5F"/>
    <w:rsid w:val="5A7E44BA"/>
    <w:rsid w:val="6CC3117E"/>
    <w:rsid w:val="6F9A486B"/>
    <w:rsid w:val="77AA1084"/>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pPr>
      <w:ind w:left="100" w:leftChars="250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日期 Char"/>
    <w:basedOn w:val="7"/>
    <w:link w:val="2"/>
    <w:qFormat/>
    <w:uiPriority w:val="0"/>
    <w:rPr>
      <w:rFonts w:ascii="Times New Roman" w:hAnsi="Times New Roman" w:eastAsia="宋体" w:cs="Times New Roman"/>
      <w:kern w:val="2"/>
      <w:sz w:val="21"/>
      <w:szCs w:val="24"/>
    </w:rPr>
  </w:style>
  <w:style w:type="character" w:styleId="9">
    <w:name w:val="Placeholder Text"/>
    <w:basedOn w:val="7"/>
    <w:semiHidden/>
    <w:qFormat/>
    <w:uiPriority w:val="99"/>
    <w:rPr>
      <w:color w:val="808080"/>
    </w:rPr>
  </w:style>
  <w:style w:type="character" w:customStyle="1" w:styleId="10">
    <w:name w:val="页眉 Char"/>
    <w:basedOn w:val="7"/>
    <w:link w:val="4"/>
    <w:qFormat/>
    <w:uiPriority w:val="0"/>
    <w:rPr>
      <w:rFonts w:ascii="Times New Roman" w:hAnsi="Times New Roman" w:eastAsia="宋体" w:cs="Times New Roman"/>
      <w:kern w:val="2"/>
      <w:sz w:val="18"/>
      <w:szCs w:val="18"/>
    </w:rPr>
  </w:style>
  <w:style w:type="character" w:customStyle="1" w:styleId="11">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2102</Words>
  <Characters>2216</Characters>
  <Lines>17</Lines>
  <Paragraphs>4</Paragraphs>
  <TotalTime>54</TotalTime>
  <ScaleCrop>false</ScaleCrop>
  <LinksUpToDate>false</LinksUpToDate>
  <CharactersWithSpaces>2235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2020-09-23T05:21:00Z</dcterms:created>
  <dc:creator>陈悦</dc:creator>
  <cp:lastModifiedBy>SYH</cp:lastModifiedBy>
  <cp:lastPrinted>2024-09-09T02:35:00Z</cp:lastPrinted>
  <dcterms:modified xsi:type="dcterms:W3CDTF">2024-09-10T02:18:50Z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13A6E1AA96F74453A2943D5397976E08_13</vt:lpwstr>
  </property>
</Properties>
</file>